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A1E96" w14:textId="77777777" w:rsidR="00A7762D" w:rsidRPr="00A7762D" w:rsidRDefault="00A7762D" w:rsidP="00A7762D">
      <w:pPr>
        <w:jc w:val="right"/>
        <w:rPr>
          <w:rFonts w:ascii="Calibri" w:eastAsia="Times New Roman" w:hAnsi="Calibri" w:cs="Calibri"/>
          <w:color w:val="000000"/>
        </w:rPr>
      </w:pPr>
      <w:r w:rsidRPr="00A7762D">
        <w:rPr>
          <w:rFonts w:ascii="Calibri" w:eastAsia="Times New Roman" w:hAnsi="Calibri" w:cs="Calibri"/>
          <w:color w:val="000000"/>
        </w:rPr>
        <w:t>February 22, 2022</w:t>
      </w:r>
    </w:p>
    <w:p w14:paraId="17C43623"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5D5DA7CB"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Good morning: </w:t>
      </w:r>
    </w:p>
    <w:p w14:paraId="6CFAF0BC"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71F23BE7"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Welcome to the immunizations listserv update. These updates will continue to come out on Monday afternoons at 4 p.m. throughout 2022 unless otherwise noted. If you have suggestions for the update, please reach out to Shelby Ostrom at </w:t>
      </w:r>
      <w:hyperlink r:id="rId4" w:tooltip="mailto:shelby.ostrom@kalhd.org" w:history="1">
        <w:r w:rsidRPr="00A7762D">
          <w:rPr>
            <w:rFonts w:ascii="Calibri" w:eastAsia="Times New Roman" w:hAnsi="Calibri" w:cs="Calibri"/>
            <w:color w:val="0563C1"/>
          </w:rPr>
          <w:t>shelby.ostrom@kalhd.org</w:t>
        </w:r>
      </w:hyperlink>
      <w:r w:rsidRPr="00A7762D">
        <w:rPr>
          <w:rFonts w:ascii="Calibri" w:eastAsia="Times New Roman" w:hAnsi="Calibri" w:cs="Calibri"/>
          <w:color w:val="000000"/>
        </w:rPr>
        <w:t>.</w:t>
      </w:r>
    </w:p>
    <w:p w14:paraId="74F1046D"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5D43BF02"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Reminder:</w:t>
      </w:r>
      <w:r w:rsidRPr="00A7762D">
        <w:rPr>
          <w:rFonts w:ascii="Calibri" w:eastAsia="Times New Roman" w:hAnsi="Calibri" w:cs="Calibri"/>
          <w:color w:val="000000"/>
        </w:rPr>
        <w:t> </w:t>
      </w:r>
      <w:r w:rsidRPr="00A7762D">
        <w:rPr>
          <w:rFonts w:ascii="Calibri" w:eastAsia="Times New Roman" w:hAnsi="Calibri" w:cs="Calibri"/>
          <w:b/>
          <w:bCs/>
          <w:i/>
          <w:iCs/>
          <w:color w:val="000000"/>
        </w:rPr>
        <w:t>2022 KALHD Dues Due March 31 </w:t>
      </w:r>
    </w:p>
    <w:p w14:paraId="0B03A1D9"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xml:space="preserve">If you have not yet renewed your KALHD membership, please consider doing so by March 31. For questions, please contact Dennis </w:t>
      </w:r>
      <w:proofErr w:type="spellStart"/>
      <w:r w:rsidRPr="00A7762D">
        <w:rPr>
          <w:rFonts w:ascii="Calibri" w:eastAsia="Times New Roman" w:hAnsi="Calibri" w:cs="Calibri"/>
          <w:color w:val="000000"/>
        </w:rPr>
        <w:t>Kriesel</w:t>
      </w:r>
      <w:proofErr w:type="spellEnd"/>
      <w:r w:rsidRPr="00A7762D">
        <w:rPr>
          <w:rFonts w:ascii="Calibri" w:eastAsia="Times New Roman" w:hAnsi="Calibri" w:cs="Calibri"/>
          <w:color w:val="000000"/>
        </w:rPr>
        <w:t xml:space="preserve"> at </w:t>
      </w:r>
      <w:hyperlink r:id="rId5" w:history="1">
        <w:r w:rsidRPr="00A7762D">
          <w:rPr>
            <w:rFonts w:ascii="Calibri" w:eastAsia="Times New Roman" w:hAnsi="Calibri" w:cs="Calibri"/>
            <w:color w:val="0563C1"/>
          </w:rPr>
          <w:t>dennis.kreisel@kalhd.org</w:t>
        </w:r>
      </w:hyperlink>
    </w:p>
    <w:p w14:paraId="2564A773"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2178A14C"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u w:val="single"/>
        </w:rPr>
        <w:t>LOCAL, STATE, &amp; KDHE VACCINE UPDATES </w:t>
      </w:r>
    </w:p>
    <w:p w14:paraId="2BD0B521"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00C188A3"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Governor’s Public Health Conference </w:t>
      </w:r>
    </w:p>
    <w:p w14:paraId="1BA379EF"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The Governor’s Public Health Conference registration page is now open. As a reminder, the conference will take place from March 29-31, 2022, in Manhattan, KS. You can view the conference agenda and </w:t>
      </w:r>
      <w:hyperlink r:id="rId6" w:history="1">
        <w:r w:rsidRPr="00A7762D">
          <w:rPr>
            <w:rFonts w:ascii="Calibri" w:eastAsia="Times New Roman" w:hAnsi="Calibri" w:cs="Calibri"/>
            <w:color w:val="0563C1"/>
          </w:rPr>
          <w:t>register for the event here.</w:t>
        </w:r>
      </w:hyperlink>
    </w:p>
    <w:p w14:paraId="69897973"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5A051BE3"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Reminder: KDHE Custom Marketing Materials end June 2022</w:t>
      </w:r>
    </w:p>
    <w:p w14:paraId="110BB33A" w14:textId="77777777" w:rsidR="00A7762D" w:rsidRPr="00A7762D" w:rsidRDefault="00A7762D" w:rsidP="00A7762D">
      <w:pPr>
        <w:rPr>
          <w:rFonts w:ascii="-webkit-standard" w:eastAsia="Times New Roman" w:hAnsi="-webkit-standard" w:cs="Times New Roman"/>
          <w:color w:val="000000"/>
        </w:rPr>
      </w:pPr>
      <w:r w:rsidRPr="00A7762D">
        <w:rPr>
          <w:rFonts w:ascii="-webkit-standard" w:eastAsia="Times New Roman" w:hAnsi="-webkit-standard" w:cs="Times New Roman"/>
          <w:color w:val="000000"/>
        </w:rPr>
        <w:t>KDHE is offering free marketing and comms support for COVID-19 vaccine and testing efforts through CML Collective (CMLC). CMLC is a Kansas-based, women- and minority-owned</w:t>
      </w:r>
    </w:p>
    <w:p w14:paraId="08E770CB" w14:textId="77777777" w:rsidR="00A7762D" w:rsidRPr="00A7762D" w:rsidRDefault="00A7762D" w:rsidP="00A7762D">
      <w:pPr>
        <w:rPr>
          <w:rFonts w:ascii="-webkit-standard" w:eastAsia="Times New Roman" w:hAnsi="-webkit-standard" w:cs="Times New Roman"/>
          <w:color w:val="000000"/>
        </w:rPr>
      </w:pPr>
      <w:r w:rsidRPr="00A7762D">
        <w:rPr>
          <w:rFonts w:ascii="-webkit-standard" w:eastAsia="Times New Roman" w:hAnsi="-webkit-standard" w:cs="Times New Roman"/>
          <w:color w:val="000000"/>
        </w:rPr>
        <w:t>communications firm, and </w:t>
      </w:r>
      <w:r w:rsidRPr="00A7762D">
        <w:rPr>
          <w:rFonts w:ascii="-webkit-standard" w:eastAsia="Times New Roman" w:hAnsi="-webkit-standard" w:cs="Times New Roman"/>
          <w:b/>
          <w:bCs/>
          <w:color w:val="000000"/>
          <w:u w:val="single"/>
        </w:rPr>
        <w:t>their services are available through the end of June 2022.</w:t>
      </w:r>
    </w:p>
    <w:p w14:paraId="31DEE27B" w14:textId="77777777" w:rsidR="00A7762D" w:rsidRPr="00A7762D" w:rsidRDefault="00A7762D" w:rsidP="00A7762D">
      <w:pPr>
        <w:rPr>
          <w:rFonts w:ascii="-webkit-standard" w:eastAsia="Times New Roman" w:hAnsi="-webkit-standard" w:cs="Times New Roman"/>
          <w:color w:val="000000"/>
        </w:rPr>
      </w:pPr>
      <w:r w:rsidRPr="00A7762D">
        <w:rPr>
          <w:rFonts w:ascii="-webkit-standard" w:eastAsia="Times New Roman" w:hAnsi="-webkit-standard" w:cs="Times New Roman"/>
          <w:color w:val="000000"/>
        </w:rPr>
        <w:t> </w:t>
      </w:r>
    </w:p>
    <w:p w14:paraId="4EA34E24" w14:textId="77777777" w:rsidR="00A7762D" w:rsidRPr="00A7762D" w:rsidRDefault="00A7762D" w:rsidP="00A7762D">
      <w:pPr>
        <w:rPr>
          <w:rFonts w:ascii="-webkit-standard" w:eastAsia="Times New Roman" w:hAnsi="-webkit-standard" w:cs="Times New Roman"/>
          <w:color w:val="000000"/>
        </w:rPr>
      </w:pPr>
      <w:r w:rsidRPr="00A7762D">
        <w:rPr>
          <w:rFonts w:ascii="-webkit-standard" w:eastAsia="Times New Roman" w:hAnsi="-webkit-standard" w:cs="Times New Roman"/>
          <w:color w:val="000000"/>
        </w:rPr>
        <w:t>Through CMLC, groups can submit requests for physical (posters, flyers, etc.) or digital (social media posts, etc.) advertisements through a website form, selecting from a set of pre-approved layouts, color options, and messages for quick design and production. There is also an option to have materials printed and shipped directly for free. For more information, examples of advertisements, to submit a request, or ask a question of CMLC, please visit </w:t>
      </w:r>
      <w:hyperlink r:id="rId7" w:history="1">
        <w:r w:rsidRPr="00A7762D">
          <w:rPr>
            <w:rFonts w:ascii="-webkit-standard" w:eastAsia="Times New Roman" w:hAnsi="-webkit-standard" w:cs="Times New Roman"/>
            <w:color w:val="0563C1"/>
          </w:rPr>
          <w:t>www.cmlcollective.com/kdhe</w:t>
        </w:r>
      </w:hyperlink>
      <w:r w:rsidRPr="00A7762D">
        <w:rPr>
          <w:rFonts w:ascii="-webkit-standard" w:eastAsia="Times New Roman" w:hAnsi="-webkit-standard" w:cs="Times New Roman"/>
          <w:color w:val="000000"/>
        </w:rPr>
        <w:t>. </w:t>
      </w:r>
    </w:p>
    <w:p w14:paraId="69F9A387" w14:textId="73CE3D5C" w:rsidR="00A7762D" w:rsidRPr="00A7762D" w:rsidRDefault="00A7762D" w:rsidP="00A7762D">
      <w:pPr>
        <w:rPr>
          <w:rFonts w:ascii="-webkit-standard" w:eastAsia="Times New Roman" w:hAnsi="-webkit-standard" w:cs="Times New Roman"/>
          <w:color w:val="000000"/>
        </w:rPr>
      </w:pPr>
      <w:r w:rsidRPr="00A7762D">
        <w:rPr>
          <w:rFonts w:ascii="-webkit-standard" w:eastAsia="Times New Roman" w:hAnsi="-webkit-standard" w:cs="Times New Roman"/>
          <w:color w:val="000000"/>
        </w:rPr>
        <w:lastRenderedPageBreak/>
        <w:fldChar w:fldCharType="begin"/>
      </w:r>
      <w:r w:rsidRPr="00A7762D">
        <w:rPr>
          <w:rFonts w:ascii="-webkit-standard" w:eastAsia="Times New Roman" w:hAnsi="-webkit-standard" w:cs="Times New Roman"/>
          <w:color w:val="000000"/>
        </w:rPr>
        <w:instrText xml:space="preserve"> INCLUDEPICTURE "/var/folders/jw/xr4mwj5510v2nhkrstxbgxjw0000gn/T/com.microsoft.Word/WebArchiveCopyPasteTempFiles/cidimage001.jpg@01D827D8.73AF30F0" \* MERGEFORMATINET </w:instrText>
      </w:r>
      <w:r w:rsidRPr="00A7762D">
        <w:rPr>
          <w:rFonts w:ascii="-webkit-standard" w:eastAsia="Times New Roman" w:hAnsi="-webkit-standard" w:cs="Times New Roman"/>
          <w:color w:val="000000"/>
        </w:rPr>
        <w:fldChar w:fldCharType="separate"/>
      </w:r>
      <w:r w:rsidRPr="00A7762D">
        <w:rPr>
          <w:rFonts w:ascii="-webkit-standard" w:eastAsia="Times New Roman" w:hAnsi="-webkit-standard" w:cs="Times New Roman"/>
          <w:noProof/>
          <w:color w:val="000000"/>
        </w:rPr>
        <w:drawing>
          <wp:inline distT="0" distB="0" distL="0" distR="0" wp14:anchorId="63CF4B05" wp14:editId="10D91A2F">
            <wp:extent cx="2626360" cy="3487420"/>
            <wp:effectExtent l="0" t="0" r="2540" b="508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6360" cy="3487420"/>
                    </a:xfrm>
                    <a:prstGeom prst="rect">
                      <a:avLst/>
                    </a:prstGeom>
                    <a:noFill/>
                    <a:ln>
                      <a:noFill/>
                    </a:ln>
                  </pic:spPr>
                </pic:pic>
              </a:graphicData>
            </a:graphic>
          </wp:inline>
        </w:drawing>
      </w:r>
      <w:r w:rsidRPr="00A7762D">
        <w:rPr>
          <w:rFonts w:ascii="-webkit-standard" w:eastAsia="Times New Roman" w:hAnsi="-webkit-standard" w:cs="Times New Roman"/>
          <w:color w:val="000000"/>
        </w:rPr>
        <w:fldChar w:fldCharType="end"/>
      </w:r>
      <w:r w:rsidRPr="00A7762D">
        <w:rPr>
          <w:rFonts w:ascii="-webkit-standard" w:eastAsia="Times New Roman" w:hAnsi="-webkit-standard" w:cs="Times New Roman"/>
          <w:color w:val="000000"/>
        </w:rPr>
        <w:fldChar w:fldCharType="begin"/>
      </w:r>
      <w:r w:rsidRPr="00A7762D">
        <w:rPr>
          <w:rFonts w:ascii="-webkit-standard" w:eastAsia="Times New Roman" w:hAnsi="-webkit-standard" w:cs="Times New Roman"/>
          <w:color w:val="000000"/>
        </w:rPr>
        <w:instrText xml:space="preserve"> INCLUDEPICTURE "/var/folders/jw/xr4mwj5510v2nhkrstxbgxjw0000gn/T/com.microsoft.Word/WebArchiveCopyPasteTempFiles/cidimage002.jpg@01D827D8.73AF30F0" \* MERGEFORMATINET </w:instrText>
      </w:r>
      <w:r w:rsidRPr="00A7762D">
        <w:rPr>
          <w:rFonts w:ascii="-webkit-standard" w:eastAsia="Times New Roman" w:hAnsi="-webkit-standard" w:cs="Times New Roman"/>
          <w:color w:val="000000"/>
        </w:rPr>
        <w:fldChar w:fldCharType="separate"/>
      </w:r>
      <w:r w:rsidRPr="00A7762D">
        <w:rPr>
          <w:rFonts w:ascii="-webkit-standard" w:eastAsia="Times New Roman" w:hAnsi="-webkit-standard" w:cs="Times New Roman"/>
          <w:noProof/>
          <w:color w:val="000000"/>
        </w:rPr>
        <w:drawing>
          <wp:inline distT="0" distB="0" distL="0" distR="0" wp14:anchorId="227DF368" wp14:editId="64154675">
            <wp:extent cx="2924175" cy="3721100"/>
            <wp:effectExtent l="0" t="0" r="0" b="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4175" cy="3721100"/>
                    </a:xfrm>
                    <a:prstGeom prst="rect">
                      <a:avLst/>
                    </a:prstGeom>
                    <a:noFill/>
                    <a:ln>
                      <a:noFill/>
                    </a:ln>
                  </pic:spPr>
                </pic:pic>
              </a:graphicData>
            </a:graphic>
          </wp:inline>
        </w:drawing>
      </w:r>
      <w:r w:rsidRPr="00A7762D">
        <w:rPr>
          <w:rFonts w:ascii="-webkit-standard" w:eastAsia="Times New Roman" w:hAnsi="-webkit-standard" w:cs="Times New Roman"/>
          <w:color w:val="000000"/>
        </w:rPr>
        <w:fldChar w:fldCharType="end"/>
      </w:r>
    </w:p>
    <w:p w14:paraId="290353D3" w14:textId="77777777" w:rsidR="00A7762D" w:rsidRPr="00A7762D" w:rsidRDefault="00A7762D" w:rsidP="00A7762D">
      <w:pPr>
        <w:rPr>
          <w:rFonts w:ascii="Times New Roman" w:eastAsia="Times New Roman" w:hAnsi="Times New Roman" w:cs="Times New Roman"/>
          <w:color w:val="000000"/>
        </w:rPr>
      </w:pPr>
      <w:r w:rsidRPr="00A7762D">
        <w:rPr>
          <w:rFonts w:ascii="Calibri" w:eastAsia="Times New Roman" w:hAnsi="Calibri" w:cs="Calibri"/>
          <w:b/>
          <w:bCs/>
          <w:color w:val="000000"/>
          <w:sz w:val="22"/>
          <w:szCs w:val="22"/>
        </w:rPr>
        <w:t> </w:t>
      </w:r>
    </w:p>
    <w:p w14:paraId="7FB3A110"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2936D3BB"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37657C95"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4B693D31"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1F5D4B35"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591AF1E4"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79BE9629"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1F939709"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7C15FCB9"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728D37D8"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2EA45660"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719272EB"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1A4F9D9B"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7B5DFD13" w14:textId="77777777" w:rsidR="00A7762D" w:rsidRPr="00A7762D" w:rsidRDefault="00A7762D" w:rsidP="00A7762D">
      <w:pPr>
        <w:rPr>
          <w:rFonts w:ascii="Times New Roman" w:eastAsia="Times New Roman" w:hAnsi="Times New Roman" w:cs="Times New Roman"/>
          <w:color w:val="000000"/>
        </w:rPr>
      </w:pPr>
      <w:r w:rsidRPr="00A7762D">
        <w:rPr>
          <w:rFonts w:ascii="Calibri" w:eastAsia="Times New Roman" w:hAnsi="Calibri" w:cs="Calibri"/>
          <w:b/>
          <w:bCs/>
          <w:i/>
          <w:iCs/>
          <w:color w:val="000000"/>
        </w:rPr>
        <w:t>Vaccine Ordering and Requesting Testing or Vaccine Clinics</w:t>
      </w:r>
      <w:r w:rsidRPr="00A7762D">
        <w:rPr>
          <w:rFonts w:ascii="Times New Roman" w:eastAsia="Times New Roman" w:hAnsi="Times New Roman" w:cs="Times New Roman"/>
          <w:b/>
          <w:bCs/>
          <w:i/>
          <w:iCs/>
          <w:color w:val="000000"/>
        </w:rPr>
        <w:t> </w:t>
      </w:r>
    </w:p>
    <w:p w14:paraId="5FC2C3D4" w14:textId="77777777" w:rsidR="00A7762D" w:rsidRPr="00A7762D" w:rsidRDefault="00A7762D" w:rsidP="00A7762D">
      <w:pPr>
        <w:rPr>
          <w:rFonts w:ascii="Times New Roman" w:eastAsia="Times New Roman" w:hAnsi="Times New Roman" w:cs="Times New Roman"/>
          <w:color w:val="000000"/>
        </w:rPr>
      </w:pPr>
      <w:r w:rsidRPr="00A7762D">
        <w:rPr>
          <w:rFonts w:ascii="Calibri" w:eastAsia="Times New Roman" w:hAnsi="Calibri" w:cs="Calibri"/>
          <w:b/>
          <w:bCs/>
          <w:i/>
          <w:iCs/>
          <w:color w:val="000000"/>
          <w:sz w:val="22"/>
          <w:szCs w:val="22"/>
        </w:rPr>
        <w:t> </w:t>
      </w:r>
      <w:r w:rsidRPr="00A7762D">
        <w:rPr>
          <w:rFonts w:ascii="Calibri" w:eastAsia="Times New Roman" w:hAnsi="Calibri" w:cs="Calibri"/>
          <w:color w:val="000000"/>
        </w:rPr>
        <w:t>If you plan to order vaccine this week from KDHE, please fill </w:t>
      </w:r>
      <w:hyperlink r:id="rId10" w:history="1">
        <w:r w:rsidRPr="00A7762D">
          <w:rPr>
            <w:rFonts w:ascii="Calibri" w:eastAsia="Times New Roman" w:hAnsi="Calibri" w:cs="Calibri"/>
            <w:color w:val="0563C1"/>
          </w:rPr>
          <w:t>out this form</w:t>
        </w:r>
      </w:hyperlink>
      <w:r w:rsidRPr="00A7762D">
        <w:rPr>
          <w:rFonts w:ascii="Calibri" w:eastAsia="Times New Roman" w:hAnsi="Calibri" w:cs="Calibri"/>
          <w:color w:val="000000"/>
        </w:rPr>
        <w:t> by Wednesday at 5 p.m. Orders will be scheduled for delivery the following week. If you need assistance, please reach out to me or </w:t>
      </w:r>
      <w:hyperlink r:id="rId11" w:history="1">
        <w:r w:rsidRPr="00A7762D">
          <w:rPr>
            <w:rFonts w:ascii="Calibri" w:eastAsia="Times New Roman" w:hAnsi="Calibri" w:cs="Calibri"/>
            <w:color w:val="0563C1"/>
          </w:rPr>
          <w:t>kdhe.vaccine@ks.gov</w:t>
        </w:r>
      </w:hyperlink>
      <w:r w:rsidRPr="00A7762D">
        <w:rPr>
          <w:rFonts w:ascii="Calibri" w:eastAsia="Times New Roman" w:hAnsi="Calibri" w:cs="Calibri"/>
          <w:color w:val="000000"/>
        </w:rPr>
        <w:t>. </w:t>
      </w:r>
    </w:p>
    <w:p w14:paraId="4DDF74A8"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108B264E"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If you would like to request KDHE support for a testing or vaccination clinic, please submit your request </w:t>
      </w:r>
      <w:hyperlink r:id="rId12" w:history="1">
        <w:r w:rsidRPr="00A7762D">
          <w:rPr>
            <w:rFonts w:ascii="Calibri" w:eastAsia="Times New Roman" w:hAnsi="Calibri" w:cs="Calibri"/>
            <w:color w:val="0563C1"/>
          </w:rPr>
          <w:t>using this form</w:t>
        </w:r>
      </w:hyperlink>
      <w:r w:rsidRPr="00A7762D">
        <w:rPr>
          <w:rFonts w:ascii="Calibri" w:eastAsia="Times New Roman" w:hAnsi="Calibri" w:cs="Calibri"/>
          <w:color w:val="000000"/>
        </w:rPr>
        <w:t>.</w:t>
      </w:r>
    </w:p>
    <w:p w14:paraId="45492693"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22599DA3"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Reminder: Prevnar 20</w:t>
      </w:r>
    </w:p>
    <w:p w14:paraId="63012D96"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lastRenderedPageBreak/>
        <w:t>At the end of January, the ACIP met and recommended the use of the new 20-Valent Pneumococcal Conjugate vaccine for the treatment of pneumonia called Prevnar 20. This vaccine is approved for adults 19-65. Kansas will be receiving the vaccinations sometime within the next couple of months. For more information about the new conjugate, </w:t>
      </w:r>
      <w:hyperlink r:id="rId13" w:history="1">
        <w:r w:rsidRPr="00A7762D">
          <w:rPr>
            <w:rFonts w:ascii="Calibri" w:eastAsia="Times New Roman" w:hAnsi="Calibri" w:cs="Calibri"/>
            <w:color w:val="0563C1"/>
          </w:rPr>
          <w:t>you can view the MMWR here</w:t>
        </w:r>
      </w:hyperlink>
      <w:r w:rsidRPr="00A7762D">
        <w:rPr>
          <w:rFonts w:ascii="Calibri" w:eastAsia="Times New Roman" w:hAnsi="Calibri" w:cs="Calibri"/>
          <w:color w:val="000000"/>
        </w:rPr>
        <w:t> or </w:t>
      </w:r>
      <w:hyperlink r:id="rId14" w:history="1">
        <w:r w:rsidRPr="00A7762D">
          <w:rPr>
            <w:rFonts w:ascii="Calibri" w:eastAsia="Times New Roman" w:hAnsi="Calibri" w:cs="Calibri"/>
            <w:color w:val="0563C1"/>
          </w:rPr>
          <w:t>download the Vaccine Information Statement here.</w:t>
        </w:r>
      </w:hyperlink>
    </w:p>
    <w:p w14:paraId="3F3EB640"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63E27829"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u w:val="single"/>
        </w:rPr>
        <w:t>PANDEMIC UPDATES</w:t>
      </w:r>
    </w:p>
    <w:p w14:paraId="02289E9B"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6B594E63"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COVID-19 Vaccine Booster Doses Uptake Continues to Slow </w:t>
      </w:r>
    </w:p>
    <w:p w14:paraId="5C212101" w14:textId="77777777" w:rsidR="00A7762D" w:rsidRPr="00A7762D" w:rsidRDefault="00A7762D" w:rsidP="00A7762D">
      <w:pPr>
        <w:rPr>
          <w:rFonts w:ascii="Calibri" w:eastAsia="Times New Roman" w:hAnsi="Calibri" w:cs="Calibri"/>
          <w:color w:val="000000"/>
        </w:rPr>
      </w:pPr>
      <w:hyperlink r:id="rId15" w:history="1">
        <w:r w:rsidRPr="00A7762D">
          <w:rPr>
            <w:rFonts w:ascii="Calibri" w:eastAsia="Times New Roman" w:hAnsi="Calibri" w:cs="Calibri"/>
            <w:color w:val="0563C1"/>
          </w:rPr>
          <w:t>According to an article from CNN</w:t>
        </w:r>
      </w:hyperlink>
      <w:r w:rsidRPr="00A7762D">
        <w:rPr>
          <w:rFonts w:ascii="Calibri" w:eastAsia="Times New Roman" w:hAnsi="Calibri" w:cs="Calibri"/>
          <w:color w:val="000000"/>
        </w:rPr>
        <w:t>, COVID-19 vaccine booster doses have reached an all-time low. As of February 14, about 64% of the United States has received their initial series, with 28% receiving a booster shot. It continues to be important to encourage communities to get a booster shot against COVID-19. </w:t>
      </w:r>
    </w:p>
    <w:p w14:paraId="7DFC09A3"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490AB018"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Reminder: FDA Approves Shortening Time Between Primary &amp; Booster Doses from 5 months to 3 months for Immunocompromised Patients </w:t>
      </w:r>
    </w:p>
    <w:p w14:paraId="3A12688D"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 </w:t>
      </w:r>
    </w:p>
    <w:p w14:paraId="6F41CF46"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Last week, the CDC Director released a press release approving the shortened time between a primary dose and booster dose to </w:t>
      </w:r>
      <w:r w:rsidRPr="00A7762D">
        <w:rPr>
          <w:rFonts w:ascii="Calibri" w:eastAsia="Times New Roman" w:hAnsi="Calibri" w:cs="Calibri"/>
          <w:color w:val="000000"/>
          <w:u w:val="single"/>
        </w:rPr>
        <w:t>3 months for immunocompromised people</w:t>
      </w:r>
      <w:r w:rsidRPr="00A7762D">
        <w:rPr>
          <w:rFonts w:ascii="Calibri" w:eastAsia="Times New Roman" w:hAnsi="Calibri" w:cs="Calibri"/>
          <w:color w:val="000000"/>
        </w:rPr>
        <w:t>. The guidance has been </w:t>
      </w:r>
      <w:hyperlink r:id="rId16" w:history="1">
        <w:r w:rsidRPr="00A7762D">
          <w:rPr>
            <w:rFonts w:ascii="Calibri" w:eastAsia="Times New Roman" w:hAnsi="Calibri" w:cs="Calibri"/>
            <w:color w:val="0563C1"/>
          </w:rPr>
          <w:t>updated on the Interim Clinical Considerations page on the CDC website.</w:t>
        </w:r>
      </w:hyperlink>
      <w:r w:rsidRPr="00A7762D">
        <w:rPr>
          <w:rFonts w:ascii="Calibri" w:eastAsia="Times New Roman" w:hAnsi="Calibri" w:cs="Calibri"/>
          <w:color w:val="000000"/>
        </w:rPr>
        <w:t> Included below are charts shared during the February 7 and February 14 LHD KDHE webinars. The Johnson &amp; Johnson vaccine also has recommended guidance. </w:t>
      </w:r>
      <w:r w:rsidRPr="00A7762D">
        <w:rPr>
          <w:rFonts w:ascii="Calibri" w:eastAsia="Times New Roman" w:hAnsi="Calibri" w:cs="Calibri"/>
          <w:color w:val="000000"/>
          <w:shd w:val="clear" w:color="auto" w:fill="FFFF00"/>
        </w:rPr>
        <w:t>It is recommended that immunocompromised patients receive a primary series, an additional primary dose, and a booster dose (4 shots total).</w:t>
      </w:r>
    </w:p>
    <w:p w14:paraId="4AB99967"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4D3EF0B0" w14:textId="737ADFFE"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fldChar w:fldCharType="begin"/>
      </w:r>
      <w:r w:rsidRPr="00A7762D">
        <w:rPr>
          <w:rFonts w:ascii="Calibri" w:eastAsia="Times New Roman" w:hAnsi="Calibri" w:cs="Calibri"/>
          <w:color w:val="000000"/>
        </w:rPr>
        <w:instrText xml:space="preserve"> INCLUDEPICTURE "/var/folders/jw/xr4mwj5510v2nhkrstxbgxjw0000gn/T/com.microsoft.Word/WebArchiveCopyPasteTempFiles/cidimage003.png@01D827D8.73AF30F0" \* MERGEFORMATINET </w:instrText>
      </w:r>
      <w:r w:rsidRPr="00A7762D">
        <w:rPr>
          <w:rFonts w:ascii="Calibri" w:eastAsia="Times New Roman" w:hAnsi="Calibri" w:cs="Calibri"/>
          <w:color w:val="000000"/>
        </w:rPr>
        <w:fldChar w:fldCharType="separate"/>
      </w:r>
      <w:r w:rsidRPr="00A7762D">
        <w:rPr>
          <w:rFonts w:ascii="Calibri" w:eastAsia="Times New Roman" w:hAnsi="Calibri" w:cs="Calibri"/>
          <w:noProof/>
          <w:color w:val="000000"/>
        </w:rPr>
        <w:drawing>
          <wp:inline distT="0" distB="0" distL="0" distR="0" wp14:anchorId="54EFA888" wp14:editId="2927B5EC">
            <wp:extent cx="5943600" cy="3383280"/>
            <wp:effectExtent l="0" t="0" r="0" b="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bl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a:ln>
                      <a:noFill/>
                    </a:ln>
                  </pic:spPr>
                </pic:pic>
              </a:graphicData>
            </a:graphic>
          </wp:inline>
        </w:drawing>
      </w:r>
      <w:r w:rsidRPr="00A7762D">
        <w:rPr>
          <w:rFonts w:ascii="Calibri" w:eastAsia="Times New Roman" w:hAnsi="Calibri" w:cs="Calibri"/>
          <w:color w:val="000000"/>
        </w:rPr>
        <w:fldChar w:fldCharType="end"/>
      </w:r>
    </w:p>
    <w:p w14:paraId="02A47BD7"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7B2F89CB" w14:textId="67025DBB"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lastRenderedPageBreak/>
        <w:fldChar w:fldCharType="begin"/>
      </w:r>
      <w:r w:rsidRPr="00A7762D">
        <w:rPr>
          <w:rFonts w:ascii="Calibri" w:eastAsia="Times New Roman" w:hAnsi="Calibri" w:cs="Calibri"/>
          <w:color w:val="000000"/>
        </w:rPr>
        <w:instrText xml:space="preserve"> INCLUDEPICTURE "/var/folders/jw/xr4mwj5510v2nhkrstxbgxjw0000gn/T/com.microsoft.Word/WebArchiveCopyPasteTempFiles/cidimage004.png@01D827D8.73AF30F0" \* MERGEFORMATINET </w:instrText>
      </w:r>
      <w:r w:rsidRPr="00A7762D">
        <w:rPr>
          <w:rFonts w:ascii="Calibri" w:eastAsia="Times New Roman" w:hAnsi="Calibri" w:cs="Calibri"/>
          <w:color w:val="000000"/>
        </w:rPr>
        <w:fldChar w:fldCharType="separate"/>
      </w:r>
      <w:r w:rsidRPr="00A7762D">
        <w:rPr>
          <w:rFonts w:ascii="Calibri" w:eastAsia="Times New Roman" w:hAnsi="Calibri" w:cs="Calibri"/>
          <w:noProof/>
          <w:color w:val="000000"/>
        </w:rPr>
        <w:drawing>
          <wp:inline distT="0" distB="0" distL="0" distR="0" wp14:anchorId="09215BC0" wp14:editId="7D34A09B">
            <wp:extent cx="5943600" cy="3347720"/>
            <wp:effectExtent l="0" t="0" r="0" b="508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ble&#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347720"/>
                    </a:xfrm>
                    <a:prstGeom prst="rect">
                      <a:avLst/>
                    </a:prstGeom>
                    <a:noFill/>
                    <a:ln>
                      <a:noFill/>
                    </a:ln>
                  </pic:spPr>
                </pic:pic>
              </a:graphicData>
            </a:graphic>
          </wp:inline>
        </w:drawing>
      </w:r>
      <w:r w:rsidRPr="00A7762D">
        <w:rPr>
          <w:rFonts w:ascii="Calibri" w:eastAsia="Times New Roman" w:hAnsi="Calibri" w:cs="Calibri"/>
          <w:color w:val="000000"/>
        </w:rPr>
        <w:fldChar w:fldCharType="end"/>
      </w:r>
    </w:p>
    <w:p w14:paraId="69C634C5"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73E35C6E"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u w:val="single"/>
        </w:rPr>
        <w:t>EVENTS, TRAINING &amp; RESOURCES </w:t>
      </w:r>
    </w:p>
    <w:p w14:paraId="745DD341"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4E7E6903"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Mark Your Calendars for These Upcoming Kansas Conferences: </w:t>
      </w:r>
    </w:p>
    <w:p w14:paraId="628F706E"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 </w:t>
      </w:r>
    </w:p>
    <w:p w14:paraId="33D90BB8"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i/>
          <w:iCs/>
          <w:color w:val="000000"/>
        </w:rPr>
        <w:t>Governor’s Public Health Conference </w:t>
      </w:r>
    </w:p>
    <w:p w14:paraId="28A370EE"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i/>
          <w:iCs/>
          <w:color w:val="000000"/>
        </w:rPr>
        <w:t>March 29-31, 2022 </w:t>
      </w:r>
    </w:p>
    <w:p w14:paraId="21302132"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i/>
          <w:iCs/>
          <w:color w:val="000000"/>
        </w:rPr>
        <w:t>Manhattan, KS at the Hilton Garden Inn </w:t>
      </w:r>
    </w:p>
    <w:p w14:paraId="4E76409F"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i/>
          <w:iCs/>
          <w:color w:val="000000"/>
        </w:rPr>
        <w:t> </w:t>
      </w:r>
    </w:p>
    <w:p w14:paraId="2999FC37"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i/>
          <w:iCs/>
          <w:color w:val="000000"/>
        </w:rPr>
        <w:t>KALHD Mid-Year Meeting &amp; Data Day </w:t>
      </w:r>
    </w:p>
    <w:p w14:paraId="136D8567"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i/>
          <w:iCs/>
          <w:color w:val="000000"/>
        </w:rPr>
        <w:t>June 27-29, 2022 </w:t>
      </w:r>
    </w:p>
    <w:p w14:paraId="6BA37577"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i/>
          <w:iCs/>
          <w:color w:val="000000"/>
        </w:rPr>
        <w:t>Salina, KS </w:t>
      </w:r>
    </w:p>
    <w:p w14:paraId="78DE4725"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 </w:t>
      </w:r>
    </w:p>
    <w:p w14:paraId="025C4C75"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Pfizer Updated Training Schedule </w:t>
      </w:r>
    </w:p>
    <w:p w14:paraId="29EDDB47"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Pfizer has updated their training webinar schedule for February and March. As a reminder, these meetings take place on the afternoons of Tuesday/Thursday and at Noon on Wednesdays. These times are all in CST. </w:t>
      </w:r>
      <w:hyperlink r:id="rId19" w:history="1">
        <w:r w:rsidRPr="00A7762D">
          <w:rPr>
            <w:rFonts w:ascii="Calibri" w:eastAsia="Times New Roman" w:hAnsi="Calibri" w:cs="Calibri"/>
            <w:color w:val="0563C1"/>
          </w:rPr>
          <w:t>For the full schedule and to register, please visit this page.</w:t>
        </w:r>
      </w:hyperlink>
    </w:p>
    <w:p w14:paraId="2502042B"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5966BA24"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Upcoming Events &amp; Trainings</w:t>
      </w:r>
    </w:p>
    <w:p w14:paraId="54FFCCB8"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745DA048"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Missouri Immunization Coalition 2022 Webinar Series </w:t>
      </w:r>
    </w:p>
    <w:p w14:paraId="46DAEA82"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i/>
          <w:iCs/>
          <w:color w:val="000000"/>
        </w:rPr>
        <w:t>5 virtual sessions on various immunization topics including education, advocacy, and population vaccines. CEUs are available for nurses and doctors through the University of Missouri. </w:t>
      </w:r>
    </w:p>
    <w:p w14:paraId="57635CE9" w14:textId="77777777" w:rsidR="00A7762D" w:rsidRPr="00A7762D" w:rsidRDefault="00A7762D" w:rsidP="00A7762D">
      <w:pPr>
        <w:rPr>
          <w:rFonts w:ascii="Calibri" w:eastAsia="Times New Roman" w:hAnsi="Calibri" w:cs="Calibri"/>
          <w:color w:val="000000"/>
        </w:rPr>
      </w:pPr>
      <w:hyperlink r:id="rId20" w:history="1">
        <w:r w:rsidRPr="00A7762D">
          <w:rPr>
            <w:rFonts w:ascii="Calibri" w:eastAsia="Times New Roman" w:hAnsi="Calibri" w:cs="Calibri"/>
            <w:color w:val="0563C1"/>
          </w:rPr>
          <w:t>Register for Upcoming Sessions Here</w:t>
        </w:r>
      </w:hyperlink>
    </w:p>
    <w:p w14:paraId="19F02EC3"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2E3EB9B2" w14:textId="77777777" w:rsidR="00A7762D" w:rsidRPr="00A7762D" w:rsidRDefault="00A7762D" w:rsidP="00A7762D">
      <w:pPr>
        <w:rPr>
          <w:rFonts w:ascii="Calibri" w:eastAsia="Times New Roman" w:hAnsi="Calibri" w:cs="Calibri"/>
          <w:color w:val="000000"/>
        </w:rPr>
      </w:pPr>
      <w:hyperlink r:id="rId21" w:history="1">
        <w:r w:rsidRPr="00A7762D">
          <w:rPr>
            <w:rFonts w:ascii="Calibri" w:eastAsia="Times New Roman" w:hAnsi="Calibri" w:cs="Calibri"/>
            <w:color w:val="0563C1"/>
          </w:rPr>
          <w:t>ACIP Quarterly Meeting</w:t>
        </w:r>
      </w:hyperlink>
    </w:p>
    <w:p w14:paraId="3766A6C0"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February 23-24, 2022 </w:t>
      </w:r>
    </w:p>
    <w:p w14:paraId="7817D95B"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45FA6E72"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Health Equity in the Workplace: Communities of Color, Public Health Disparities, and COVID-19 </w:t>
      </w:r>
    </w:p>
    <w:p w14:paraId="336BE4F4"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Wednesday, February 23 </w:t>
      </w:r>
    </w:p>
    <w:p w14:paraId="4D3B40CD"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1-2 p.m. CST </w:t>
      </w:r>
    </w:p>
    <w:p w14:paraId="7531E258" w14:textId="77777777" w:rsidR="00A7762D" w:rsidRPr="00A7762D" w:rsidRDefault="00A7762D" w:rsidP="00A7762D">
      <w:pPr>
        <w:rPr>
          <w:rFonts w:ascii="Calibri" w:eastAsia="Times New Roman" w:hAnsi="Calibri" w:cs="Calibri"/>
          <w:color w:val="000000"/>
        </w:rPr>
      </w:pPr>
      <w:hyperlink r:id="rId22" w:history="1">
        <w:r w:rsidRPr="00A7762D">
          <w:rPr>
            <w:rFonts w:ascii="Calibri" w:eastAsia="Times New Roman" w:hAnsi="Calibri" w:cs="Calibri"/>
            <w:color w:val="0563C1"/>
          </w:rPr>
          <w:t>Register Here</w:t>
        </w:r>
      </w:hyperlink>
    </w:p>
    <w:p w14:paraId="15C53D10"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4AC4424A"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Building a Dream Team: Navigating the Legislative Environment &amp; Addressing Incorrect Vaccine Information </w:t>
      </w:r>
    </w:p>
    <w:p w14:paraId="662FE28D"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February 28, 2022 </w:t>
      </w:r>
    </w:p>
    <w:p w14:paraId="56133AF9"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11:00 a.m. – 12:00 p.m. CST </w:t>
      </w:r>
    </w:p>
    <w:p w14:paraId="3ACA570C" w14:textId="77777777" w:rsidR="00A7762D" w:rsidRPr="00A7762D" w:rsidRDefault="00A7762D" w:rsidP="00A7762D">
      <w:pPr>
        <w:rPr>
          <w:rFonts w:ascii="Calibri" w:eastAsia="Times New Roman" w:hAnsi="Calibri" w:cs="Calibri"/>
          <w:color w:val="000000"/>
        </w:rPr>
      </w:pPr>
      <w:hyperlink r:id="rId23" w:history="1">
        <w:r w:rsidRPr="00A7762D">
          <w:rPr>
            <w:rFonts w:ascii="Calibri" w:eastAsia="Times New Roman" w:hAnsi="Calibri" w:cs="Calibri"/>
            <w:color w:val="0563C1"/>
          </w:rPr>
          <w:t>Register Here</w:t>
        </w:r>
      </w:hyperlink>
    </w:p>
    <w:p w14:paraId="7F7A331C"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0E07AB84"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Kansas Health Institute 2022 Health Policy Series </w:t>
      </w:r>
    </w:p>
    <w:p w14:paraId="574BA19F"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A Shot at COVID-19 Vaccine Policy </w:t>
      </w:r>
    </w:p>
    <w:p w14:paraId="0B843339"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Tuesday, March 1 </w:t>
      </w:r>
    </w:p>
    <w:p w14:paraId="69ADB8BE"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12 – 1 p.m. CST </w:t>
      </w:r>
    </w:p>
    <w:p w14:paraId="48954337" w14:textId="77777777" w:rsidR="00A7762D" w:rsidRPr="00A7762D" w:rsidRDefault="00A7762D" w:rsidP="00A7762D">
      <w:pPr>
        <w:rPr>
          <w:rFonts w:ascii="Calibri" w:eastAsia="Times New Roman" w:hAnsi="Calibri" w:cs="Calibri"/>
          <w:color w:val="000000"/>
        </w:rPr>
      </w:pPr>
      <w:hyperlink r:id="rId24" w:history="1">
        <w:r w:rsidRPr="00A7762D">
          <w:rPr>
            <w:rFonts w:ascii="Calibri" w:eastAsia="Times New Roman" w:hAnsi="Calibri" w:cs="Calibri"/>
            <w:color w:val="0563C1"/>
          </w:rPr>
          <w:t>Register here</w:t>
        </w:r>
      </w:hyperlink>
    </w:p>
    <w:p w14:paraId="214067EE"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3EDFCBDC"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CDC Current Issues in Immunization Webinar</w:t>
      </w:r>
    </w:p>
    <w:p w14:paraId="2A9C8BD1"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Updates to the 2022 Child/Adolescent/Adult Immunization Calendars </w:t>
      </w:r>
    </w:p>
    <w:p w14:paraId="52ACA30C"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March 2, 2022 </w:t>
      </w:r>
    </w:p>
    <w:p w14:paraId="43F7E032" w14:textId="77777777" w:rsidR="00A7762D" w:rsidRPr="00A7762D" w:rsidRDefault="00A7762D" w:rsidP="00A7762D">
      <w:pPr>
        <w:rPr>
          <w:rFonts w:ascii="Calibri" w:eastAsia="Times New Roman" w:hAnsi="Calibri" w:cs="Calibri"/>
          <w:color w:val="000000"/>
        </w:rPr>
      </w:pPr>
      <w:hyperlink r:id="rId25" w:anchor="events" w:history="1">
        <w:r w:rsidRPr="00A7762D">
          <w:rPr>
            <w:rFonts w:ascii="Calibri" w:eastAsia="Times New Roman" w:hAnsi="Calibri" w:cs="Calibri"/>
            <w:color w:val="0563C1"/>
          </w:rPr>
          <w:t>View more information</w:t>
        </w:r>
      </w:hyperlink>
    </w:p>
    <w:p w14:paraId="1760BA07"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74CD6C8A"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#VaxAmbassador Training: Best Practices for Online Community Outreach</w:t>
      </w:r>
    </w:p>
    <w:p w14:paraId="07C9EDB6"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Thursday, March 3 </w:t>
      </w:r>
    </w:p>
    <w:p w14:paraId="68B11118"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6-7 p.m. CST </w:t>
      </w:r>
    </w:p>
    <w:p w14:paraId="6BE9A57A" w14:textId="77777777" w:rsidR="00A7762D" w:rsidRPr="00A7762D" w:rsidRDefault="00A7762D" w:rsidP="00A7762D">
      <w:pPr>
        <w:rPr>
          <w:rFonts w:ascii="Calibri" w:eastAsia="Times New Roman" w:hAnsi="Calibri" w:cs="Calibri"/>
          <w:color w:val="000000"/>
        </w:rPr>
      </w:pPr>
      <w:hyperlink r:id="rId26" w:history="1">
        <w:r w:rsidRPr="00A7762D">
          <w:rPr>
            <w:rFonts w:ascii="Calibri" w:eastAsia="Times New Roman" w:hAnsi="Calibri" w:cs="Calibri"/>
            <w:color w:val="0563C1"/>
          </w:rPr>
          <w:t>Register Here</w:t>
        </w:r>
      </w:hyperlink>
    </w:p>
    <w:p w14:paraId="7D7E1867"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563C1"/>
        </w:rPr>
        <w:t> </w:t>
      </w:r>
    </w:p>
    <w:p w14:paraId="697B1496"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rPr>
        <w:t>Approving COVID-19 Vaccines for Children: When Do We Know Enough? </w:t>
      </w:r>
    </w:p>
    <w:p w14:paraId="31D1B15C"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rPr>
        <w:t>March 16 </w:t>
      </w:r>
    </w:p>
    <w:p w14:paraId="548DDB5B"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rPr>
        <w:t>11:00 a.m. – 12:00 p.m. CST </w:t>
      </w:r>
    </w:p>
    <w:p w14:paraId="61251018" w14:textId="77777777" w:rsidR="00A7762D" w:rsidRPr="00A7762D" w:rsidRDefault="00A7762D" w:rsidP="00A7762D">
      <w:pPr>
        <w:rPr>
          <w:rFonts w:ascii="Calibri" w:eastAsia="Times New Roman" w:hAnsi="Calibri" w:cs="Calibri"/>
          <w:color w:val="000000"/>
        </w:rPr>
      </w:pPr>
      <w:hyperlink r:id="rId27" w:history="1">
        <w:r w:rsidRPr="00A7762D">
          <w:rPr>
            <w:rFonts w:ascii="Calibri" w:eastAsia="Times New Roman" w:hAnsi="Calibri" w:cs="Calibri"/>
            <w:color w:val="0563C1"/>
            <w:u w:val="single"/>
          </w:rPr>
          <w:t>Register Here</w:t>
        </w:r>
      </w:hyperlink>
    </w:p>
    <w:p w14:paraId="65E740FB"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73B4DC56"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Recordings &amp; Updated Resources </w:t>
      </w:r>
    </w:p>
    <w:p w14:paraId="7C75B272"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 </w:t>
      </w:r>
    </w:p>
    <w:p w14:paraId="4A4BAC22"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Building Confidence in the COVID-19 Vaccine During Pregnancy </w:t>
      </w:r>
    </w:p>
    <w:p w14:paraId="541783C5" w14:textId="77777777" w:rsidR="00A7762D" w:rsidRPr="00A7762D" w:rsidRDefault="00A7762D" w:rsidP="00A7762D">
      <w:pPr>
        <w:rPr>
          <w:rFonts w:ascii="Calibri" w:eastAsia="Times New Roman" w:hAnsi="Calibri" w:cs="Calibri"/>
          <w:color w:val="000000"/>
        </w:rPr>
      </w:pPr>
      <w:hyperlink r:id="rId28" w:history="1">
        <w:r w:rsidRPr="00A7762D">
          <w:rPr>
            <w:rFonts w:ascii="Calibri" w:eastAsia="Times New Roman" w:hAnsi="Calibri" w:cs="Calibri"/>
            <w:color w:val="0563C1"/>
            <w:u w:val="single"/>
          </w:rPr>
          <w:t>View Recording Here</w:t>
        </w:r>
      </w:hyperlink>
    </w:p>
    <w:p w14:paraId="2526FA3B"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635A5EDB"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Immunization Action Coalition COVID-19 Repository of Resources </w:t>
      </w:r>
    </w:p>
    <w:p w14:paraId="1CF5E4F5" w14:textId="77777777" w:rsidR="00A7762D" w:rsidRPr="00A7762D" w:rsidRDefault="00A7762D" w:rsidP="00A7762D">
      <w:pPr>
        <w:rPr>
          <w:rFonts w:ascii="Calibri" w:eastAsia="Times New Roman" w:hAnsi="Calibri" w:cs="Calibri"/>
          <w:color w:val="000000"/>
        </w:rPr>
      </w:pPr>
      <w:hyperlink r:id="rId29" w:history="1">
        <w:r w:rsidRPr="00A7762D">
          <w:rPr>
            <w:rFonts w:ascii="Calibri" w:eastAsia="Times New Roman" w:hAnsi="Calibri" w:cs="Calibri"/>
            <w:color w:val="0563C1"/>
            <w:u w:val="single"/>
          </w:rPr>
          <w:t>Click Here</w:t>
        </w:r>
      </w:hyperlink>
    </w:p>
    <w:p w14:paraId="205D45FA"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3552396C"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COVID-19 &amp; HPV Vaccine Videos by Dr. Paul Offit </w:t>
      </w:r>
    </w:p>
    <w:p w14:paraId="2E71C784" w14:textId="77777777" w:rsidR="00A7762D" w:rsidRPr="00A7762D" w:rsidRDefault="00A7762D" w:rsidP="00A7762D">
      <w:pPr>
        <w:rPr>
          <w:rFonts w:ascii="Calibri" w:eastAsia="Times New Roman" w:hAnsi="Calibri" w:cs="Calibri"/>
          <w:color w:val="000000"/>
        </w:rPr>
      </w:pPr>
      <w:hyperlink r:id="rId30" w:history="1">
        <w:r w:rsidRPr="00A7762D">
          <w:rPr>
            <w:rFonts w:ascii="Calibri" w:eastAsia="Times New Roman" w:hAnsi="Calibri" w:cs="Calibri"/>
            <w:color w:val="0563C1"/>
            <w:u w:val="single"/>
          </w:rPr>
          <w:t>Click Here</w:t>
        </w:r>
      </w:hyperlink>
    </w:p>
    <w:p w14:paraId="5DFFE047"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 </w:t>
      </w:r>
    </w:p>
    <w:p w14:paraId="3C4BEF04"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481D4385"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r w:rsidRPr="00A7762D">
        <w:rPr>
          <w:rFonts w:ascii="Calibri" w:eastAsia="Times New Roman" w:hAnsi="Calibri" w:cs="Calibri"/>
          <w:b/>
          <w:bCs/>
          <w:color w:val="000000"/>
          <w:u w:val="single"/>
        </w:rPr>
        <w:t>VACCINE PREVENTATABLE DISEASE OF THE WEEK </w:t>
      </w:r>
    </w:p>
    <w:p w14:paraId="25B421B4"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color w:val="000000"/>
        </w:rPr>
        <w:t> </w:t>
      </w:r>
    </w:p>
    <w:p w14:paraId="0A7DCECF"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This week I will be talking about Chickenpox. Chickenpox is one of those diseases that everyone knows about, but not necessarily the side effects and the disease origins.</w:t>
      </w:r>
    </w:p>
    <w:p w14:paraId="17739B91"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4923BE46"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What Is It?  </w:t>
      </w:r>
    </w:p>
    <w:p w14:paraId="7B4770E6"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Chickenpox is a very contagious disease caused by the varicella-zoster virus. Like Smallpox, it causes blister-like rashes all over the body including the chest, back, and face. When Chickenpox has run its course in the body, it can cause between 250 and 500 blisters. While most children get Chickenpox and have mild symptoms, the virus can cause complications and severe illness, especially in those with weakened immune systems and young adults. Complications can include soft tissue infections, encephalitis, pneumonia, and sepsis. Chickenpox typically infects a person once and makes them immune. However, the virus remains in the body and can cause Shingles. </w:t>
      </w:r>
    </w:p>
    <w:p w14:paraId="7EC30FDA"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1C441868"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Shingles</w:t>
      </w:r>
    </w:p>
    <w:p w14:paraId="7B690B25"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Like Chickenpox, Shingles can cause painful blisters on different parts of the body. However, it typically only appears in one place. Shingles is caused by the same virus as Chickenpox, but it typically will live in nerve tissue after original Chickenpox infection and can appear at any time. Shingles is typically non-life-threating, they can cause lifelong nerve damage. </w:t>
      </w:r>
    </w:p>
    <w:p w14:paraId="07DD8195"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57C0DD69"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History</w:t>
      </w:r>
    </w:p>
    <w:p w14:paraId="1CFAEC66"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Originally discovered in 1767 by Dr. William Heberden, the varicella virus was differentiated from the smallpox virus and linked to the herpes zoster virus. It wasn’t until 1888 that Shingles and Chickenpox were connected after a study was done with children who were exposed to Shingles but not Chickenpox. Chickenpox, due to it being very infectious, traveled throughout the world. However, in 1951, the CDC in the United States didn’t believe that Chickenpox was a significant enough disease to include in disease reporting measures. It wouldn’t become a member of the disease reporting list until 1972, when 164,114 cases were reported during the year. Throughout the next century, Chickenpox became a rite of passage for children in the United States. Parents were encouraged to expose their children to Chickenpox early to avoid infection as an adult. </w:t>
      </w:r>
    </w:p>
    <w:p w14:paraId="614BC411"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32ADB72A" w14:textId="4208E0C1"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lastRenderedPageBreak/>
        <w:fldChar w:fldCharType="begin"/>
      </w:r>
      <w:r w:rsidRPr="00A7762D">
        <w:rPr>
          <w:rFonts w:ascii="Calibri" w:eastAsia="Times New Roman" w:hAnsi="Calibri" w:cs="Calibri"/>
          <w:color w:val="000000"/>
        </w:rPr>
        <w:instrText xml:space="preserve"> INCLUDEPICTURE "/var/folders/jw/xr4mwj5510v2nhkrstxbgxjw0000gn/T/com.microsoft.Word/WebArchiveCopyPasteTempFiles/cidimage005.jpg@01D827D8.73AF30F0" \* MERGEFORMATINET </w:instrText>
      </w:r>
      <w:r w:rsidRPr="00A7762D">
        <w:rPr>
          <w:rFonts w:ascii="Calibri" w:eastAsia="Times New Roman" w:hAnsi="Calibri" w:cs="Calibri"/>
          <w:color w:val="000000"/>
        </w:rPr>
        <w:fldChar w:fldCharType="separate"/>
      </w:r>
      <w:r w:rsidRPr="00A7762D">
        <w:rPr>
          <w:rFonts w:ascii="Calibri" w:eastAsia="Times New Roman" w:hAnsi="Calibri" w:cs="Calibri"/>
          <w:noProof/>
          <w:color w:val="000000"/>
        </w:rPr>
        <w:drawing>
          <wp:inline distT="0" distB="0" distL="0" distR="0" wp14:anchorId="5FC98F44" wp14:editId="2FC20A10">
            <wp:extent cx="5475605" cy="5667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75605" cy="5667375"/>
                    </a:xfrm>
                    <a:prstGeom prst="rect">
                      <a:avLst/>
                    </a:prstGeom>
                    <a:noFill/>
                    <a:ln>
                      <a:noFill/>
                    </a:ln>
                  </pic:spPr>
                </pic:pic>
              </a:graphicData>
            </a:graphic>
          </wp:inline>
        </w:drawing>
      </w:r>
      <w:r w:rsidRPr="00A7762D">
        <w:rPr>
          <w:rFonts w:ascii="Calibri" w:eastAsia="Times New Roman" w:hAnsi="Calibri" w:cs="Calibri"/>
          <w:color w:val="000000"/>
        </w:rPr>
        <w:fldChar w:fldCharType="end"/>
      </w:r>
    </w:p>
    <w:p w14:paraId="4D588AD1"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58D2557B"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18263C8F"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Reye Syndrome </w:t>
      </w:r>
    </w:p>
    <w:p w14:paraId="0DEDEA82"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In the 1970s, the CDC became aware of a condition called Reye Syndrome. This syndrome can affect the liver, blood, and brain, which can lead to death. While Reye Syndrome is rare, it was determined that the use of aspirin as a fever reducer for children with Chickenpox or Influenza could cause Reye Syndrome. In 1982, the Surgeon General issued a warning on aspirin that is still in use today. </w:t>
      </w:r>
    </w:p>
    <w:p w14:paraId="7B4A254F"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66864EB8"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Vaccination for both Chickenpox and Shingles</w:t>
      </w:r>
    </w:p>
    <w:p w14:paraId="4986CEF9"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xml:space="preserve">In 1996, the ACIP recommended a Chickenpox vaccination for children starting at 1 year old with a booster dose from 4-6 years old prior to entering school. While breakthrough infections continued to occur, children vaccinated were less likely to spread the disease. Additionally, the </w:t>
      </w:r>
      <w:r w:rsidRPr="00A7762D">
        <w:rPr>
          <w:rFonts w:ascii="Calibri" w:eastAsia="Times New Roman" w:hAnsi="Calibri" w:cs="Calibri"/>
          <w:color w:val="000000"/>
        </w:rPr>
        <w:lastRenderedPageBreak/>
        <w:t>age of disease onset occurred, moving from young children to 9 to 11 years old. There is also a licensed MMRV vaccine that prevents Measles, Mumps, Rubella, and Chickenpox (varicella).</w:t>
      </w:r>
    </w:p>
    <w:p w14:paraId="53BEF009"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5F0B7158"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In 2008, the ACIP moved forward with approving a Shingles vaccination for adults 60 years and older to mitigate the appearance of Shingles. In 2018, Shingrix was introduced to the market for anyone older than 50. It boasts a 96% effectiveness rate. </w:t>
      </w:r>
    </w:p>
    <w:p w14:paraId="55082245"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3417A116"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098B91AD"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Personal Connections from Your “Resident” Millennial (Or Gen Z depending on who you ask) </w:t>
      </w:r>
    </w:p>
    <w:p w14:paraId="4A6054AB"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I was born in February 1995, one year prior to the licensing of the Chickenpox vaccine. I was a part of the first group of children to get the vaccine and the booster dose when I was 4. While I don’t remember the vaccination, two of my classmates in second grade (who had also received the vaccine) both got chickenpox from each other in 2002. In 2004, my brother, who had also received both the primary and booster doses of the vaccine got Shingles on his face. It cleared up quickly and thankfully has not caused any nerve damage. </w:t>
      </w:r>
      <w:r w:rsidRPr="00A7762D">
        <w:rPr>
          <w:rFonts w:ascii="Calibri" w:eastAsia="Times New Roman" w:hAnsi="Calibri" w:cs="Calibri"/>
          <w:b/>
          <w:bCs/>
          <w:i/>
          <w:iCs/>
          <w:color w:val="000000"/>
        </w:rPr>
        <w:t>Consequently, unlike many of you, I have never had Chickenpox. The vaccine worked for me.</w:t>
      </w:r>
    </w:p>
    <w:p w14:paraId="6C9CEE26"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i/>
          <w:iCs/>
          <w:color w:val="000000"/>
        </w:rPr>
        <w:t> </w:t>
      </w:r>
    </w:p>
    <w:p w14:paraId="5B691353"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b/>
          <w:bCs/>
          <w:i/>
          <w:iCs/>
          <w:color w:val="000000"/>
        </w:rPr>
        <w:t>What We Can Learn </w:t>
      </w:r>
    </w:p>
    <w:p w14:paraId="69174A2A"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Like Measles, Chickenpox was a rite of passage for children in the United States. However, due to vaccination, we can prevent Chickenpox side effects like Shingles from getting worse and causing death. While many claim that natural immunity is most effective, vaccinations protect those who cannot get natural immunity because of immunocompromising conditions. Vaccines allow us to live longer and healthier, and it many cases, fully eradicate diseases.  </w:t>
      </w:r>
    </w:p>
    <w:p w14:paraId="3D85267E"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38228591"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Sources &amp; Further Reading: </w:t>
      </w:r>
    </w:p>
    <w:p w14:paraId="1F6AE4B1" w14:textId="77777777" w:rsidR="00A7762D" w:rsidRPr="00A7762D" w:rsidRDefault="00A7762D" w:rsidP="00A7762D">
      <w:pPr>
        <w:rPr>
          <w:rFonts w:ascii="Calibri" w:eastAsia="Times New Roman" w:hAnsi="Calibri" w:cs="Calibri"/>
          <w:color w:val="000000"/>
        </w:rPr>
      </w:pPr>
      <w:hyperlink r:id="rId32" w:history="1">
        <w:r w:rsidRPr="00A7762D">
          <w:rPr>
            <w:rFonts w:ascii="Calibri" w:eastAsia="Times New Roman" w:hAnsi="Calibri" w:cs="Calibri"/>
            <w:color w:val="0563C1"/>
            <w:u w:val="single"/>
          </w:rPr>
          <w:t>https://ftp.historyofvaccines.org/content/articles/shingles-herpes-zoster</w:t>
        </w:r>
      </w:hyperlink>
    </w:p>
    <w:p w14:paraId="62D42C0C" w14:textId="77777777" w:rsidR="00A7762D" w:rsidRPr="00A7762D" w:rsidRDefault="00A7762D" w:rsidP="00A7762D">
      <w:pPr>
        <w:rPr>
          <w:rFonts w:ascii="Calibri" w:eastAsia="Times New Roman" w:hAnsi="Calibri" w:cs="Calibri"/>
          <w:color w:val="000000"/>
        </w:rPr>
      </w:pPr>
      <w:hyperlink r:id="rId33" w:history="1">
        <w:r w:rsidRPr="00A7762D">
          <w:rPr>
            <w:rFonts w:ascii="Calibri" w:eastAsia="Times New Roman" w:hAnsi="Calibri" w:cs="Calibri"/>
            <w:color w:val="0563C1"/>
            <w:u w:val="single"/>
          </w:rPr>
          <w:t>https://www.nvic.org/vaccines-and-diseases/chickenpox/history.aspx</w:t>
        </w:r>
      </w:hyperlink>
    </w:p>
    <w:p w14:paraId="00AAA8B9" w14:textId="77777777" w:rsidR="00A7762D" w:rsidRPr="00A7762D" w:rsidRDefault="00A7762D" w:rsidP="00A7762D">
      <w:pPr>
        <w:rPr>
          <w:rFonts w:ascii="Calibri" w:eastAsia="Times New Roman" w:hAnsi="Calibri" w:cs="Calibri"/>
          <w:color w:val="000000"/>
        </w:rPr>
      </w:pPr>
      <w:hyperlink r:id="rId34" w:history="1">
        <w:r w:rsidRPr="00A7762D">
          <w:rPr>
            <w:rFonts w:ascii="Calibri" w:eastAsia="Times New Roman" w:hAnsi="Calibri" w:cs="Calibri"/>
            <w:color w:val="0563C1"/>
            <w:u w:val="single"/>
          </w:rPr>
          <w:t>https://www.mayoclinic.org/diseases-conditions/shingles/symptoms-causes/syc-20353054</w:t>
        </w:r>
      </w:hyperlink>
    </w:p>
    <w:p w14:paraId="2E1764F3" w14:textId="77777777" w:rsidR="00A7762D" w:rsidRPr="00A7762D" w:rsidRDefault="00A7762D" w:rsidP="00A7762D">
      <w:pPr>
        <w:rPr>
          <w:rFonts w:ascii="Calibri" w:eastAsia="Times New Roman" w:hAnsi="Calibri" w:cs="Calibri"/>
          <w:color w:val="000000"/>
        </w:rPr>
      </w:pPr>
      <w:hyperlink r:id="rId35" w:history="1">
        <w:r w:rsidRPr="00A7762D">
          <w:rPr>
            <w:rFonts w:ascii="Calibri" w:eastAsia="Times New Roman" w:hAnsi="Calibri" w:cs="Calibri"/>
            <w:color w:val="0563C1"/>
            <w:u w:val="single"/>
          </w:rPr>
          <w:t>https://www.cdc.gov/chickenpox/about/complications.html</w:t>
        </w:r>
      </w:hyperlink>
    </w:p>
    <w:p w14:paraId="52888A68" w14:textId="77777777" w:rsidR="00A7762D" w:rsidRPr="00A7762D" w:rsidRDefault="00A7762D" w:rsidP="00A7762D">
      <w:pPr>
        <w:rPr>
          <w:rFonts w:ascii="Calibri" w:eastAsia="Times New Roman" w:hAnsi="Calibri" w:cs="Calibri"/>
          <w:color w:val="000000"/>
        </w:rPr>
      </w:pPr>
      <w:hyperlink r:id="rId36" w:history="1">
        <w:r w:rsidRPr="00A7762D">
          <w:rPr>
            <w:rFonts w:ascii="Calibri" w:eastAsia="Times New Roman" w:hAnsi="Calibri" w:cs="Calibri"/>
            <w:color w:val="0563C1"/>
            <w:u w:val="single"/>
          </w:rPr>
          <w:t>https://www.cdc.gov/chickenpox/about/symptoms.html</w:t>
        </w:r>
      </w:hyperlink>
    </w:p>
    <w:p w14:paraId="5B328BBD" w14:textId="77777777" w:rsidR="00A7762D" w:rsidRPr="00A7762D" w:rsidRDefault="00A7762D" w:rsidP="00A7762D">
      <w:pPr>
        <w:rPr>
          <w:rFonts w:ascii="Calibri" w:eastAsia="Times New Roman" w:hAnsi="Calibri" w:cs="Calibri"/>
          <w:color w:val="000000"/>
        </w:rPr>
      </w:pPr>
      <w:hyperlink r:id="rId37" w:anchor=":~:text=Chickenpox%20is%20a%20highly%20contagious,250%20and%20500%20itchy%20blisters" w:history="1">
        <w:r w:rsidRPr="00A7762D">
          <w:rPr>
            <w:rFonts w:ascii="Calibri" w:eastAsia="Times New Roman" w:hAnsi="Calibri" w:cs="Calibri"/>
            <w:color w:val="0563C1"/>
            <w:u w:val="single"/>
          </w:rPr>
          <w:t>https://www.cdc.gov/chickenpox/about/index.html#:~:text=Chickenpox%20is%20a%20highly%20contagious,250%20and%20500%20itchy%20blisters</w:t>
        </w:r>
      </w:hyperlink>
      <w:r w:rsidRPr="00A7762D">
        <w:rPr>
          <w:rFonts w:ascii="Calibri" w:eastAsia="Times New Roman" w:hAnsi="Calibri" w:cs="Calibri"/>
          <w:color w:val="000000"/>
        </w:rPr>
        <w:t>.</w:t>
      </w:r>
    </w:p>
    <w:p w14:paraId="3D27ACA0" w14:textId="77777777" w:rsidR="00A7762D" w:rsidRPr="00A7762D" w:rsidRDefault="00A7762D" w:rsidP="00A7762D">
      <w:pPr>
        <w:rPr>
          <w:rFonts w:ascii="Calibri" w:eastAsia="Times New Roman" w:hAnsi="Calibri" w:cs="Calibri"/>
          <w:color w:val="000000"/>
        </w:rPr>
      </w:pPr>
      <w:hyperlink r:id="rId38" w:history="1">
        <w:r w:rsidRPr="00A7762D">
          <w:rPr>
            <w:rFonts w:ascii="Calibri" w:eastAsia="Times New Roman" w:hAnsi="Calibri" w:cs="Calibri"/>
            <w:color w:val="0563C1"/>
            <w:u w:val="single"/>
          </w:rPr>
          <w:t>https://kidshealth.org/en/parents/chicken-pox.html</w:t>
        </w:r>
      </w:hyperlink>
    </w:p>
    <w:p w14:paraId="36163D3C" w14:textId="77777777" w:rsidR="00A7762D" w:rsidRPr="00A7762D" w:rsidRDefault="00A7762D" w:rsidP="00A7762D">
      <w:pPr>
        <w:rPr>
          <w:rFonts w:ascii="Calibri" w:eastAsia="Times New Roman" w:hAnsi="Calibri" w:cs="Calibri"/>
          <w:color w:val="000000"/>
        </w:rPr>
      </w:pPr>
      <w:hyperlink r:id="rId39" w:history="1">
        <w:r w:rsidRPr="00A7762D">
          <w:rPr>
            <w:rFonts w:ascii="Calibri" w:eastAsia="Times New Roman" w:hAnsi="Calibri" w:cs="Calibri"/>
            <w:color w:val="0563C1"/>
            <w:u w:val="single"/>
          </w:rPr>
          <w:t>https://mapleleafmedical.com.au/blog/2019/9/20/chickenpox-vs-measles-whats-the-difference</w:t>
        </w:r>
      </w:hyperlink>
    </w:p>
    <w:p w14:paraId="0E37E8BD" w14:textId="77777777" w:rsidR="00A7762D" w:rsidRPr="00A7762D" w:rsidRDefault="00A7762D" w:rsidP="00A7762D">
      <w:pPr>
        <w:rPr>
          <w:rFonts w:ascii="Calibri" w:eastAsia="Times New Roman" w:hAnsi="Calibri" w:cs="Calibri"/>
          <w:color w:val="000000"/>
        </w:rPr>
      </w:pPr>
      <w:r w:rsidRPr="00A7762D">
        <w:rPr>
          <w:rFonts w:ascii="Calibri" w:eastAsia="Times New Roman" w:hAnsi="Calibri" w:cs="Calibri"/>
          <w:color w:val="000000"/>
        </w:rPr>
        <w:t> </w:t>
      </w:r>
    </w:p>
    <w:p w14:paraId="5E22795B" w14:textId="77777777" w:rsidR="00D750DA" w:rsidRDefault="00D750DA"/>
    <w:sectPr w:rsidR="00D750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62D"/>
    <w:rsid w:val="00874830"/>
    <w:rsid w:val="00A7762D"/>
    <w:rsid w:val="00C00CA8"/>
    <w:rsid w:val="00D75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9E5C8D"/>
  <w15:chartTrackingRefBased/>
  <w15:docId w15:val="{9A63773D-3020-394B-9F40-F1B744237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7762D"/>
  </w:style>
  <w:style w:type="character" w:styleId="Hyperlink">
    <w:name w:val="Hyperlink"/>
    <w:basedOn w:val="DefaultParagraphFont"/>
    <w:uiPriority w:val="99"/>
    <w:semiHidden/>
    <w:unhideWhenUsed/>
    <w:rsid w:val="00A7762D"/>
  </w:style>
  <w:style w:type="paragraph" w:styleId="NormalWeb">
    <w:name w:val="Normal (Web)"/>
    <w:basedOn w:val="Normal"/>
    <w:uiPriority w:val="99"/>
    <w:semiHidden/>
    <w:unhideWhenUsed/>
    <w:rsid w:val="00A7762D"/>
    <w:pPr>
      <w:spacing w:before="100" w:beforeAutospacing="1" w:after="100" w:afterAutospacing="1"/>
    </w:pPr>
    <w:rPr>
      <w:rFonts w:ascii="Times New Roman" w:eastAsia="Times New Roman" w:hAnsi="Times New Roman" w:cs="Times New Roman"/>
    </w:rPr>
  </w:style>
  <w:style w:type="paragraph" w:styleId="NoSpacing">
    <w:name w:val="No Spacing"/>
    <w:basedOn w:val="Normal"/>
    <w:uiPriority w:val="1"/>
    <w:qFormat/>
    <w:rsid w:val="00A7762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55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c.gov/mmwr/volumes/71/wr/mm7104a1.htm?s_cid=mm7104a1_w" TargetMode="External"/><Relationship Id="rId18" Type="http://schemas.openxmlformats.org/officeDocument/2006/relationships/image" Target="media/image4.png"/><Relationship Id="rId26" Type="http://schemas.openxmlformats.org/officeDocument/2006/relationships/hyperlink" Target="https://www.mobilize.us/madetosave/event/426143/" TargetMode="External"/><Relationship Id="rId39" Type="http://schemas.openxmlformats.org/officeDocument/2006/relationships/hyperlink" Target="https://mapleleafmedical.com.au/blog/2019/9/20/chickenpox-vs-measles-whats-the-difference" TargetMode="External"/><Relationship Id="rId21" Type="http://schemas.openxmlformats.org/officeDocument/2006/relationships/hyperlink" Target="https://www.cdc.gov/vaccines/acip/meetings/downloads/agenda-archive/agenda-2022-02-23-24-508.pdf" TargetMode="External"/><Relationship Id="rId34" Type="http://schemas.openxmlformats.org/officeDocument/2006/relationships/hyperlink" Target="https://www.mayoclinic.org/diseases-conditions/shingles/symptoms-causes/syc-20353054" TargetMode="External"/><Relationship Id="rId7" Type="http://schemas.openxmlformats.org/officeDocument/2006/relationships/hyperlink" Target="https://gcc02.safelinks.protection.outlook.com/?url=http%3A%2F%2Fwww.cmlcollective.com%2Fkdhe&amp;data=04%7C01%7Clisa.horn%40ks.gov%7C00612b75813649ba927208d9e06e7179%7Cdcae8101c92d480cbc43c6761ccccc5a%7C0%7C0%7C637787588817341882%7CUnknown%7CTWFpbGZsb3d8eyJWIjoiMC4wLjAwMDAiLCJQIjoiV2luMzIiLCJBTiI6Ik1haWwiLCJXVCI6Mn0%3D%7C3000&amp;sdata=aOpQ9wZ0zQW3gc6RFaizUI%2F0fY1B%2BnjmGEhU5092%2FaQ%3D&amp;reserved=0" TargetMode="External"/><Relationship Id="rId2" Type="http://schemas.openxmlformats.org/officeDocument/2006/relationships/settings" Target="settings.xml"/><Relationship Id="rId16" Type="http://schemas.openxmlformats.org/officeDocument/2006/relationships/hyperlink" Target="https://www.cdc.gov/vaccines/covid-19/clinical-considerations/covid-19-vaccines-us.html" TargetMode="External"/><Relationship Id="rId20" Type="http://schemas.openxmlformats.org/officeDocument/2006/relationships/hyperlink" Target="https://missouri.qualtrics.com/jfe/form/SV_8dZnOEShus2hnYq" TargetMode="External"/><Relationship Id="rId29" Type="http://schemas.openxmlformats.org/officeDocument/2006/relationships/hyperlink" Target="https://www.immunizationcoalitions.org/resource-repository/"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wichita.edu/about/conferences/publichealth.php" TargetMode="External"/><Relationship Id="rId11" Type="http://schemas.openxmlformats.org/officeDocument/2006/relationships/hyperlink" Target="mailto:kdhe.vaccine@ks.gov" TargetMode="External"/><Relationship Id="rId24" Type="http://schemas.openxmlformats.org/officeDocument/2006/relationships/hyperlink" Target="https://app.greenrope.com/publicCalendar2.pl?Cal=1a3e1982af09ffef30bd4546c455271b&amp;Event=75" TargetMode="External"/><Relationship Id="rId32" Type="http://schemas.openxmlformats.org/officeDocument/2006/relationships/hyperlink" Target="https://ftp.historyofvaccines.org/content/articles/shingles-herpes-zoster" TargetMode="External"/><Relationship Id="rId37" Type="http://schemas.openxmlformats.org/officeDocument/2006/relationships/hyperlink" Target="https://www.cdc.gov/chickenpox/about/index.html" TargetMode="External"/><Relationship Id="rId40" Type="http://schemas.openxmlformats.org/officeDocument/2006/relationships/fontTable" Target="fontTable.xml"/><Relationship Id="rId5" Type="http://schemas.openxmlformats.org/officeDocument/2006/relationships/hyperlink" Target="mailto:dennis.kreisel@kalhd.org" TargetMode="External"/><Relationship Id="rId15" Type="http://schemas.openxmlformats.org/officeDocument/2006/relationships/hyperlink" Target="https://www.cnn.com/2022/02/15/health/covid-19-booster-dose-slow-uptake-us/index.html" TargetMode="External"/><Relationship Id="rId23" Type="http://schemas.openxmlformats.org/officeDocument/2006/relationships/hyperlink" Target="https://us06web.zoom.us/webinar/register/WN_NHo1OjNdRo-9zy1O1gkSfw" TargetMode="External"/><Relationship Id="rId28" Type="http://schemas.openxmlformats.org/officeDocument/2006/relationships/hyperlink" Target="https://www.aha.org/education-events/building-confidence-covid-19-vaccine-during-pregnancy" TargetMode="External"/><Relationship Id="rId36" Type="http://schemas.openxmlformats.org/officeDocument/2006/relationships/hyperlink" Target="https://www.cdc.gov/chickenpox/about/symptoms.html" TargetMode="External"/><Relationship Id="rId10" Type="http://schemas.openxmlformats.org/officeDocument/2006/relationships/hyperlink" Target="https://www.surveymonkey.com/r/3QY82P6" TargetMode="External"/><Relationship Id="rId19" Type="http://schemas.openxmlformats.org/officeDocument/2006/relationships/hyperlink" Target="https://www.pfizermedicalinformation.com/en-us/medical-updates" TargetMode="External"/><Relationship Id="rId31" Type="http://schemas.openxmlformats.org/officeDocument/2006/relationships/image" Target="media/image5.jpeg"/><Relationship Id="rId4" Type="http://schemas.openxmlformats.org/officeDocument/2006/relationships/hyperlink" Target="mailto:shelby.ostrom@kalhd.org" TargetMode="External"/><Relationship Id="rId9" Type="http://schemas.openxmlformats.org/officeDocument/2006/relationships/image" Target="media/image2.jpeg"/><Relationship Id="rId14" Type="http://schemas.openxmlformats.org/officeDocument/2006/relationships/hyperlink" Target="https://www.immunize.org/vis/pcv.pdf" TargetMode="External"/><Relationship Id="rId22" Type="http://schemas.openxmlformats.org/officeDocument/2006/relationships/hyperlink" Target="https://www.mobilize.us/madetosave/event/440457/?utm_source=VCTR+Signups&amp;utm_campaign=b77adb9bd9-EMAIL_CAMPAIGN_2020_10_21_06_07_COPY_01&amp;utm_medium=email&amp;utm_term=0_efa2442a9d-b77adb9bd9-117187480" TargetMode="External"/><Relationship Id="rId27" Type="http://schemas.openxmlformats.org/officeDocument/2006/relationships/hyperlink" Target="https://www.chop.edu/centers-programs/vaccine-update/vaccine-webinar-series" TargetMode="External"/><Relationship Id="rId30" Type="http://schemas.openxmlformats.org/officeDocument/2006/relationships/hyperlink" Target="https://www.youtube.com/playlist?list=PLUv9oht3hC6R0BwuRegsQiCO_6S3U8hlL" TargetMode="External"/><Relationship Id="rId35" Type="http://schemas.openxmlformats.org/officeDocument/2006/relationships/hyperlink" Target="https://www.cdc.gov/chickenpox/about/complications.html" TargetMode="External"/><Relationship Id="rId8" Type="http://schemas.openxmlformats.org/officeDocument/2006/relationships/image" Target="media/image1.jpeg"/><Relationship Id="rId3" Type="http://schemas.openxmlformats.org/officeDocument/2006/relationships/webSettings" Target="webSettings.xml"/><Relationship Id="rId12" Type="http://schemas.openxmlformats.org/officeDocument/2006/relationships/hyperlink" Target="https://docs.google.com/forms/d/e/1FAIpQLSd7PCzD-Y6n-LEuR3U4nPyOLQnlTK7TuXLCIZkqVSN1uXqfQg/viewform" TargetMode="External"/><Relationship Id="rId17" Type="http://schemas.openxmlformats.org/officeDocument/2006/relationships/image" Target="media/image3.png"/><Relationship Id="rId25" Type="http://schemas.openxmlformats.org/officeDocument/2006/relationships/hyperlink" Target="https://www.cdc.gov/vaccines/ed/ciiw/index.html?CDC_AA_refVal=https%3A%2F%2Fwww.cdc.gov%2Fvaccines%2Fed%2Fciinc%2Findex.html" TargetMode="External"/><Relationship Id="rId33" Type="http://schemas.openxmlformats.org/officeDocument/2006/relationships/hyperlink" Target="https://www.nvic.org/vaccines-and-diseases/chickenpox/history.aspx" TargetMode="External"/><Relationship Id="rId38" Type="http://schemas.openxmlformats.org/officeDocument/2006/relationships/hyperlink" Target="https://kidshealth.org/en/parents/chicken-po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2207</Words>
  <Characters>12584</Characters>
  <Application>Microsoft Office Word</Application>
  <DocSecurity>0</DocSecurity>
  <Lines>104</Lines>
  <Paragraphs>29</Paragraphs>
  <ScaleCrop>false</ScaleCrop>
  <Company/>
  <LinksUpToDate>false</LinksUpToDate>
  <CharactersWithSpaces>14762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Ostrom, Shelby</dc:creator>
  <cp:keywords/>
  <dc:description/>
  <cp:lastModifiedBy>Ostrom, Shelby</cp:lastModifiedBy>
  <cp:revision>1</cp:revision>
  <dcterms:created xsi:type="dcterms:W3CDTF">2022-03-01T20:41:00Z</dcterms:created>
  <dcterms:modified xsi:type="dcterms:W3CDTF">2022-03-01T20:41:00Z</dcterms:modified>
</cp:coreProperties>
</file>